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5CCE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7EA133F5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09533837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58A05358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19AA4E1B" w14:textId="77777777" w:rsidR="00240F24" w:rsidRDefault="00240F24" w:rsidP="00240F24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32EF3315" wp14:editId="1D878E43">
            <wp:extent cx="2619375" cy="1419225"/>
            <wp:effectExtent l="0" t="0" r="9525" b="9525"/>
            <wp:docPr id="2" name="Picture 2" descr="STFH 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FH 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344E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057A6DA8" w14:textId="77777777" w:rsidR="00240F24" w:rsidRPr="00240F24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  <w:r w:rsidRPr="00240F24">
        <w:rPr>
          <w:rFonts w:ascii="Arial" w:hAnsi="Arial" w:cs="Arial"/>
          <w:b/>
          <w:sz w:val="40"/>
          <w:szCs w:val="40"/>
        </w:rPr>
        <w:t>SALISBURY TRUST FOR THE HOMELESS</w:t>
      </w:r>
    </w:p>
    <w:p w14:paraId="44CD66ED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16F261F9" w14:textId="77777777" w:rsidR="00240F24" w:rsidRDefault="00240F24" w:rsidP="00240F24">
      <w:pPr>
        <w:rPr>
          <w:rFonts w:ascii="Arial" w:hAnsi="Arial" w:cs="Arial"/>
          <w:b/>
        </w:rPr>
      </w:pPr>
    </w:p>
    <w:p w14:paraId="6BA5590F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415678DA" w14:textId="77777777" w:rsidR="00240F24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POLICY STATEMENT:</w:t>
      </w:r>
    </w:p>
    <w:p w14:paraId="2D672C52" w14:textId="77777777" w:rsidR="00240F24" w:rsidRPr="00EB24DA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</w:p>
    <w:p w14:paraId="6A1C198F" w14:textId="77777777" w:rsidR="00240F24" w:rsidRPr="00EB24DA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EQUALITY, DIVERSITY &amp; INCLUSION</w:t>
      </w:r>
    </w:p>
    <w:p w14:paraId="530D5FA2" w14:textId="77777777" w:rsidR="00240F24" w:rsidRPr="00F05A7B" w:rsidRDefault="00240F24" w:rsidP="00240F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Pr="00F05A7B">
        <w:rPr>
          <w:rFonts w:ascii="Arial" w:hAnsi="Arial" w:cs="Arial"/>
        </w:rPr>
        <w:t xml:space="preserve"> 2022</w:t>
      </w:r>
    </w:p>
    <w:p w14:paraId="431ABE24" w14:textId="77777777" w:rsidR="003059E2" w:rsidRPr="00240F24" w:rsidRDefault="00240F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FD4151" w14:textId="77777777" w:rsidR="003059E2" w:rsidRPr="009D1E3B" w:rsidRDefault="003059E2" w:rsidP="003059E2">
      <w:pPr>
        <w:shd w:val="clear" w:color="auto" w:fill="FFC000"/>
        <w:rPr>
          <w:rFonts w:ascii="Arial" w:hAnsi="Arial" w:cs="Arial"/>
          <w:b/>
        </w:rPr>
      </w:pPr>
      <w:r w:rsidRPr="004869E5">
        <w:rPr>
          <w:rFonts w:ascii="Arial" w:hAnsi="Arial" w:cs="Arial"/>
          <w:b/>
        </w:rPr>
        <w:lastRenderedPageBreak/>
        <w:t>EQUALITY, DIVERSITY &amp; INCLUSION</w:t>
      </w:r>
    </w:p>
    <w:p w14:paraId="55BFC340" w14:textId="77777777" w:rsidR="003059E2" w:rsidRPr="005F2AF1" w:rsidRDefault="003059E2" w:rsidP="003059E2">
      <w:pPr>
        <w:spacing w:after="0"/>
        <w:jc w:val="both"/>
        <w:rPr>
          <w:rFonts w:ascii="Arial" w:hAnsi="Arial" w:cs="Arial"/>
          <w:b/>
        </w:rPr>
      </w:pPr>
      <w:r w:rsidRPr="005F2AF1">
        <w:rPr>
          <w:rFonts w:ascii="Arial" w:hAnsi="Arial" w:cs="Arial"/>
          <w:b/>
        </w:rPr>
        <w:t>Statement of Intent:</w:t>
      </w:r>
    </w:p>
    <w:p w14:paraId="38B24DC9" w14:textId="77777777" w:rsidR="003059E2" w:rsidRPr="005F2AF1" w:rsidRDefault="00A130BC" w:rsidP="003059E2">
      <w:pPr>
        <w:spacing w:after="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STFH</w:t>
      </w:r>
      <w:r w:rsidR="003059E2">
        <w:rPr>
          <w:rFonts w:ascii="Arial" w:hAnsi="Arial" w:cs="Arial"/>
          <w:lang w:val="en"/>
        </w:rPr>
        <w:t xml:space="preserve"> is committed to being a fair and inclusive </w:t>
      </w:r>
      <w:proofErr w:type="spellStart"/>
      <w:r w:rsidR="003059E2">
        <w:rPr>
          <w:rFonts w:ascii="Arial" w:hAnsi="Arial" w:cs="Arial"/>
          <w:lang w:val="en"/>
        </w:rPr>
        <w:t>organisation</w:t>
      </w:r>
      <w:proofErr w:type="spellEnd"/>
      <w:r w:rsidR="003059E2">
        <w:rPr>
          <w:rFonts w:ascii="Arial" w:hAnsi="Arial" w:cs="Arial"/>
          <w:lang w:val="en"/>
        </w:rPr>
        <w:t xml:space="preserve">.  As an employer, service provider and partner, we </w:t>
      </w:r>
      <w:proofErr w:type="spellStart"/>
      <w:r w:rsidR="003059E2">
        <w:rPr>
          <w:rFonts w:ascii="Arial" w:hAnsi="Arial" w:cs="Arial"/>
          <w:lang w:val="en"/>
        </w:rPr>
        <w:t>recognise</w:t>
      </w:r>
      <w:proofErr w:type="spellEnd"/>
      <w:r w:rsidR="003059E2" w:rsidRPr="005F2AF1">
        <w:rPr>
          <w:rFonts w:ascii="Arial" w:hAnsi="Arial" w:cs="Arial"/>
          <w:lang w:val="en"/>
        </w:rPr>
        <w:t xml:space="preserve"> the importance of The Equality Act (2010) and </w:t>
      </w:r>
      <w:r w:rsidR="003059E2">
        <w:rPr>
          <w:rFonts w:ascii="Arial" w:hAnsi="Arial" w:cs="Arial"/>
          <w:lang w:val="en"/>
        </w:rPr>
        <w:t>we seek</w:t>
      </w:r>
      <w:r w:rsidR="003059E2" w:rsidRPr="005F2AF1">
        <w:rPr>
          <w:rFonts w:ascii="Arial" w:hAnsi="Arial" w:cs="Arial"/>
          <w:lang w:val="en"/>
        </w:rPr>
        <w:t xml:space="preserve"> to ensure that </w:t>
      </w:r>
      <w:r w:rsidR="003059E2">
        <w:rPr>
          <w:rFonts w:ascii="Arial" w:hAnsi="Arial" w:cs="Arial"/>
          <w:lang w:val="en"/>
        </w:rPr>
        <w:t xml:space="preserve">our </w:t>
      </w:r>
      <w:r w:rsidR="003059E2" w:rsidRPr="005F2AF1">
        <w:rPr>
          <w:rFonts w:ascii="Arial" w:hAnsi="Arial" w:cs="Arial"/>
          <w:lang w:val="en"/>
        </w:rPr>
        <w:t xml:space="preserve">staff, </w:t>
      </w:r>
      <w:proofErr w:type="gramStart"/>
      <w:r w:rsidR="003059E2" w:rsidRPr="005F2AF1">
        <w:rPr>
          <w:rFonts w:ascii="Arial" w:hAnsi="Arial" w:cs="Arial"/>
          <w:lang w:val="en"/>
        </w:rPr>
        <w:t>customers</w:t>
      </w:r>
      <w:proofErr w:type="gramEnd"/>
      <w:r w:rsidR="003059E2" w:rsidRPr="005F2AF1">
        <w:rPr>
          <w:rFonts w:ascii="Arial" w:hAnsi="Arial" w:cs="Arial"/>
          <w:lang w:val="en"/>
        </w:rPr>
        <w:t xml:space="preserve"> and partner </w:t>
      </w:r>
      <w:proofErr w:type="spellStart"/>
      <w:r w:rsidR="003059E2" w:rsidRPr="005F2AF1">
        <w:rPr>
          <w:rFonts w:ascii="Arial" w:hAnsi="Arial" w:cs="Arial"/>
          <w:lang w:val="en"/>
        </w:rPr>
        <w:t>organisations</w:t>
      </w:r>
      <w:proofErr w:type="spellEnd"/>
      <w:r w:rsidR="003059E2" w:rsidRPr="005F2AF1">
        <w:rPr>
          <w:rFonts w:ascii="Arial" w:hAnsi="Arial" w:cs="Arial"/>
          <w:lang w:val="en"/>
        </w:rPr>
        <w:t xml:space="preserve"> are treated fairly, lawfully and with dignity and respect, </w:t>
      </w:r>
      <w:r w:rsidR="003059E2">
        <w:rPr>
          <w:rFonts w:ascii="Arial" w:hAnsi="Arial" w:cs="Arial"/>
          <w:lang w:val="en"/>
        </w:rPr>
        <w:t>particularly in relation to the</w:t>
      </w:r>
      <w:r w:rsidR="003059E2" w:rsidRPr="005F2AF1">
        <w:rPr>
          <w:rFonts w:ascii="Arial" w:hAnsi="Arial" w:cs="Arial"/>
          <w:lang w:val="en"/>
        </w:rPr>
        <w:t xml:space="preserve"> following </w:t>
      </w:r>
      <w:r w:rsidR="00FA3C04">
        <w:rPr>
          <w:rFonts w:ascii="Arial" w:hAnsi="Arial" w:cs="Arial"/>
          <w:lang w:val="en"/>
        </w:rPr>
        <w:t xml:space="preserve">legally </w:t>
      </w:r>
      <w:r w:rsidR="003059E2" w:rsidRPr="005F2AF1">
        <w:rPr>
          <w:rFonts w:ascii="Arial" w:hAnsi="Arial" w:cs="Arial"/>
          <w:lang w:val="en"/>
        </w:rPr>
        <w:t>protected characteristics:</w:t>
      </w:r>
    </w:p>
    <w:p w14:paraId="2B5EE233" w14:textId="77777777" w:rsidR="003059E2" w:rsidRPr="005F2AF1" w:rsidRDefault="003059E2" w:rsidP="003059E2">
      <w:pPr>
        <w:spacing w:after="0"/>
        <w:jc w:val="both"/>
        <w:rPr>
          <w:rFonts w:ascii="Arial" w:hAnsi="Arial" w:cs="Arial"/>
          <w:lang w:val="en"/>
        </w:rPr>
      </w:pPr>
    </w:p>
    <w:p w14:paraId="7218919F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  <w:lang w:val="en"/>
        </w:rPr>
        <w:t>Age</w:t>
      </w:r>
    </w:p>
    <w:p w14:paraId="33976B76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  <w:lang w:val="en"/>
        </w:rPr>
        <w:t>Disability</w:t>
      </w:r>
    </w:p>
    <w:p w14:paraId="53025A85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</w:rPr>
        <w:t>Gender reassignment</w:t>
      </w:r>
    </w:p>
    <w:p w14:paraId="1C577331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</w:rPr>
        <w:t>Marriage and civil partnership</w:t>
      </w:r>
    </w:p>
    <w:p w14:paraId="61EACE3B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  <w:lang w:val="en"/>
        </w:rPr>
        <w:t>Pregnancy and maternity</w:t>
      </w:r>
    </w:p>
    <w:p w14:paraId="07F68674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  <w:lang w:val="en"/>
        </w:rPr>
        <w:t>Race</w:t>
      </w:r>
    </w:p>
    <w:p w14:paraId="1790BB87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  <w:lang w:val="en"/>
        </w:rPr>
        <w:t>Religion or belief</w:t>
      </w:r>
    </w:p>
    <w:p w14:paraId="2676E40A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  <w:lang w:val="en"/>
        </w:rPr>
        <w:t>Sex</w:t>
      </w:r>
    </w:p>
    <w:p w14:paraId="3A171DBD" w14:textId="77777777" w:rsidR="003059E2" w:rsidRPr="005F2AF1" w:rsidRDefault="003059E2" w:rsidP="003059E2">
      <w:pPr>
        <w:numPr>
          <w:ilvl w:val="0"/>
          <w:numId w:val="21"/>
        </w:numPr>
        <w:spacing w:after="0" w:line="276" w:lineRule="auto"/>
        <w:rPr>
          <w:rFonts w:ascii="Arial" w:hAnsi="Arial" w:cs="Arial"/>
          <w:lang w:val="en"/>
        </w:rPr>
      </w:pPr>
      <w:r w:rsidRPr="005F2AF1">
        <w:rPr>
          <w:rFonts w:ascii="Arial" w:hAnsi="Arial" w:cs="Arial"/>
          <w:lang w:val="en"/>
        </w:rPr>
        <w:t>Sexual orientation</w:t>
      </w:r>
    </w:p>
    <w:p w14:paraId="23DCA7CA" w14:textId="77777777" w:rsidR="003059E2" w:rsidRPr="005F2AF1" w:rsidRDefault="003059E2" w:rsidP="003059E2">
      <w:pPr>
        <w:spacing w:after="0"/>
        <w:jc w:val="both"/>
        <w:rPr>
          <w:rFonts w:ascii="Arial" w:hAnsi="Arial" w:cs="Arial"/>
          <w:lang w:val="en"/>
        </w:rPr>
      </w:pPr>
    </w:p>
    <w:p w14:paraId="631DB8D6" w14:textId="77777777" w:rsidR="003059E2" w:rsidRPr="005F2AF1" w:rsidRDefault="00A130BC" w:rsidP="003059E2">
      <w:pPr>
        <w:spacing w:after="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STFH</w:t>
      </w:r>
      <w:r w:rsidR="003059E2">
        <w:rPr>
          <w:rFonts w:ascii="Arial" w:hAnsi="Arial" w:cs="Arial"/>
          <w:lang w:val="en"/>
        </w:rPr>
        <w:t xml:space="preserve"> </w:t>
      </w:r>
      <w:r w:rsidR="003059E2" w:rsidRPr="005F2AF1">
        <w:rPr>
          <w:rFonts w:ascii="Arial" w:hAnsi="Arial" w:cs="Arial"/>
          <w:lang w:val="en"/>
        </w:rPr>
        <w:t xml:space="preserve">also </w:t>
      </w:r>
      <w:proofErr w:type="spellStart"/>
      <w:r w:rsidR="003059E2" w:rsidRPr="005F2AF1">
        <w:rPr>
          <w:rFonts w:ascii="Arial" w:hAnsi="Arial" w:cs="Arial"/>
          <w:lang w:val="en"/>
        </w:rPr>
        <w:t>recognises</w:t>
      </w:r>
      <w:proofErr w:type="spellEnd"/>
      <w:r w:rsidR="003059E2" w:rsidRPr="005F2AF1">
        <w:rPr>
          <w:rFonts w:ascii="Arial" w:hAnsi="Arial" w:cs="Arial"/>
          <w:lang w:val="en"/>
        </w:rPr>
        <w:t xml:space="preserve"> the Public Sector Equality Duty enshrined in the Act and</w:t>
      </w:r>
      <w:r w:rsidR="00FA3C04">
        <w:rPr>
          <w:rFonts w:ascii="Arial" w:hAnsi="Arial" w:cs="Arial"/>
          <w:lang w:val="en"/>
        </w:rPr>
        <w:t xml:space="preserve">, whilst not a Public Sector </w:t>
      </w:r>
      <w:proofErr w:type="spellStart"/>
      <w:r w:rsidR="00FA3C04">
        <w:rPr>
          <w:rFonts w:ascii="Arial" w:hAnsi="Arial" w:cs="Arial"/>
          <w:lang w:val="en"/>
        </w:rPr>
        <w:t>organisation</w:t>
      </w:r>
      <w:proofErr w:type="spellEnd"/>
      <w:r w:rsidR="00FA3C04">
        <w:rPr>
          <w:rFonts w:ascii="Arial" w:hAnsi="Arial" w:cs="Arial"/>
          <w:lang w:val="en"/>
        </w:rPr>
        <w:t>,</w:t>
      </w:r>
      <w:r w:rsidR="003059E2" w:rsidRPr="005F2AF1">
        <w:rPr>
          <w:rFonts w:ascii="Arial" w:hAnsi="Arial" w:cs="Arial"/>
          <w:lang w:val="en"/>
        </w:rPr>
        <w:t xml:space="preserve"> is committed to supporting the three aims of the Duty by the application of this policy through:</w:t>
      </w:r>
    </w:p>
    <w:p w14:paraId="0648DC63" w14:textId="77777777" w:rsidR="003059E2" w:rsidRPr="005F2AF1" w:rsidRDefault="003059E2" w:rsidP="003059E2">
      <w:pPr>
        <w:spacing w:after="0"/>
        <w:jc w:val="both"/>
        <w:rPr>
          <w:rFonts w:ascii="Arial" w:hAnsi="Arial" w:cs="Arial"/>
          <w:lang w:val="en"/>
        </w:rPr>
      </w:pPr>
    </w:p>
    <w:p w14:paraId="343B71FF" w14:textId="77777777" w:rsidR="003059E2" w:rsidRPr="005F2AF1" w:rsidRDefault="003059E2" w:rsidP="003059E2">
      <w:pPr>
        <w:pStyle w:val="ListParagraph"/>
        <w:numPr>
          <w:ilvl w:val="0"/>
          <w:numId w:val="22"/>
        </w:numPr>
        <w:spacing w:line="276" w:lineRule="auto"/>
        <w:jc w:val="both"/>
        <w:rPr>
          <w:rFonts w:cs="Arial"/>
          <w:sz w:val="22"/>
          <w:szCs w:val="22"/>
          <w:lang w:val="en"/>
        </w:rPr>
      </w:pPr>
      <w:r w:rsidRPr="005F2AF1">
        <w:rPr>
          <w:rFonts w:cs="Arial"/>
          <w:sz w:val="22"/>
          <w:szCs w:val="22"/>
          <w:lang w:val="en"/>
        </w:rPr>
        <w:t xml:space="preserve">Eliminating unlawful discrimination, harassment, </w:t>
      </w:r>
      <w:proofErr w:type="spellStart"/>
      <w:proofErr w:type="gramStart"/>
      <w:r w:rsidRPr="005F2AF1">
        <w:rPr>
          <w:rFonts w:cs="Arial"/>
          <w:sz w:val="22"/>
          <w:szCs w:val="22"/>
          <w:lang w:val="en"/>
        </w:rPr>
        <w:t>victimisation</w:t>
      </w:r>
      <w:proofErr w:type="spellEnd"/>
      <w:proofErr w:type="gramEnd"/>
      <w:r w:rsidRPr="005F2AF1">
        <w:rPr>
          <w:rFonts w:cs="Arial"/>
          <w:sz w:val="22"/>
          <w:szCs w:val="22"/>
          <w:lang w:val="en"/>
        </w:rPr>
        <w:t xml:space="preserve"> and other conduct prohibited by the Act</w:t>
      </w:r>
    </w:p>
    <w:p w14:paraId="679107AB" w14:textId="77777777" w:rsidR="003059E2" w:rsidRPr="005F2AF1" w:rsidRDefault="003059E2" w:rsidP="003059E2">
      <w:pPr>
        <w:pStyle w:val="ListParagraph"/>
        <w:numPr>
          <w:ilvl w:val="0"/>
          <w:numId w:val="22"/>
        </w:numPr>
        <w:spacing w:line="276" w:lineRule="auto"/>
        <w:jc w:val="both"/>
        <w:rPr>
          <w:rFonts w:cs="Arial"/>
          <w:sz w:val="22"/>
          <w:szCs w:val="22"/>
          <w:lang w:val="en"/>
        </w:rPr>
      </w:pPr>
      <w:r w:rsidRPr="005F2AF1">
        <w:rPr>
          <w:rFonts w:cs="Arial"/>
          <w:sz w:val="22"/>
          <w:szCs w:val="22"/>
          <w:lang w:val="en"/>
        </w:rPr>
        <w:t>Advancing equality of opportunity between people who share a protected characteristic and those who do not</w:t>
      </w:r>
    </w:p>
    <w:p w14:paraId="41E028A0" w14:textId="77777777" w:rsidR="003059E2" w:rsidRPr="005F2AF1" w:rsidRDefault="003059E2" w:rsidP="003059E2">
      <w:pPr>
        <w:pStyle w:val="ListParagraph"/>
        <w:numPr>
          <w:ilvl w:val="0"/>
          <w:numId w:val="22"/>
        </w:numPr>
        <w:spacing w:line="276" w:lineRule="auto"/>
        <w:jc w:val="both"/>
        <w:rPr>
          <w:rFonts w:cs="Arial"/>
          <w:sz w:val="22"/>
          <w:szCs w:val="22"/>
          <w:lang w:val="en"/>
        </w:rPr>
      </w:pPr>
      <w:r w:rsidRPr="005F2AF1">
        <w:rPr>
          <w:rFonts w:cs="Arial"/>
          <w:sz w:val="22"/>
          <w:szCs w:val="22"/>
          <w:lang w:val="en"/>
        </w:rPr>
        <w:t>Fostering good relations between people who share a protected characteristic and those who do not</w:t>
      </w:r>
    </w:p>
    <w:p w14:paraId="4F83657B" w14:textId="77777777" w:rsidR="003059E2" w:rsidRDefault="003059E2" w:rsidP="003059E2">
      <w:pPr>
        <w:spacing w:after="0"/>
        <w:jc w:val="both"/>
        <w:rPr>
          <w:rFonts w:ascii="Arial" w:hAnsi="Arial" w:cs="Arial"/>
          <w:b/>
          <w:bCs/>
        </w:rPr>
      </w:pPr>
    </w:p>
    <w:p w14:paraId="7ED8F3F9" w14:textId="77777777" w:rsidR="003059E2" w:rsidRPr="005F2AF1" w:rsidRDefault="00223587" w:rsidP="003059E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Our</w:t>
      </w:r>
      <w:r w:rsidR="003059E2" w:rsidRPr="005F2AF1">
        <w:rPr>
          <w:rFonts w:ascii="Arial" w:hAnsi="Arial" w:cs="Arial"/>
          <w:b/>
          <w:bCs/>
        </w:rPr>
        <w:t xml:space="preserve"> commitments</w:t>
      </w:r>
      <w:r>
        <w:rPr>
          <w:rFonts w:ascii="Arial" w:hAnsi="Arial" w:cs="Arial"/>
          <w:b/>
          <w:bCs/>
        </w:rPr>
        <w:t>:</w:t>
      </w:r>
      <w:r w:rsidR="003059E2" w:rsidRPr="005F2AF1">
        <w:rPr>
          <w:rFonts w:ascii="Arial" w:hAnsi="Arial" w:cs="Arial"/>
          <w:b/>
          <w:bCs/>
        </w:rPr>
        <w:t xml:space="preserve"> </w:t>
      </w:r>
      <w:r w:rsidR="000D4D32">
        <w:rPr>
          <w:rFonts w:ascii="Arial" w:hAnsi="Arial" w:cs="Arial"/>
          <w:b/>
          <w:bCs/>
        </w:rPr>
        <w:t>STFH</w:t>
      </w:r>
      <w:r w:rsidR="003059E2" w:rsidRPr="005F2AF1">
        <w:rPr>
          <w:rFonts w:ascii="Arial" w:hAnsi="Arial" w:cs="Arial"/>
          <w:b/>
          <w:bCs/>
        </w:rPr>
        <w:t xml:space="preserve"> will:</w:t>
      </w:r>
    </w:p>
    <w:p w14:paraId="6414A4EB" w14:textId="77777777" w:rsidR="003059E2" w:rsidRPr="005F2AF1" w:rsidRDefault="003059E2" w:rsidP="003059E2">
      <w:pPr>
        <w:spacing w:after="0"/>
        <w:jc w:val="both"/>
        <w:rPr>
          <w:rFonts w:ascii="Arial" w:hAnsi="Arial" w:cs="Arial"/>
        </w:rPr>
      </w:pPr>
    </w:p>
    <w:p w14:paraId="0707C92E" w14:textId="77777777" w:rsidR="000D4D32" w:rsidRPr="005F2AF1" w:rsidRDefault="000D4D32" w:rsidP="000D4D3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an active part of the</w:t>
      </w:r>
      <w:r w:rsidRPr="005F2AF1">
        <w:rPr>
          <w:rFonts w:cs="Arial"/>
          <w:sz w:val="22"/>
          <w:szCs w:val="22"/>
        </w:rPr>
        <w:t xml:space="preserve"> overarching </w:t>
      </w:r>
      <w:r>
        <w:rPr>
          <w:rFonts w:cs="Arial"/>
          <w:sz w:val="22"/>
          <w:szCs w:val="22"/>
        </w:rPr>
        <w:t>BCHA Group</w:t>
      </w:r>
      <w:r w:rsidRPr="005F2AF1">
        <w:rPr>
          <w:rFonts w:cs="Arial"/>
          <w:sz w:val="22"/>
          <w:szCs w:val="22"/>
        </w:rPr>
        <w:t xml:space="preserve"> strategy </w:t>
      </w:r>
      <w:r>
        <w:rPr>
          <w:rFonts w:cs="Arial"/>
          <w:sz w:val="22"/>
          <w:szCs w:val="22"/>
        </w:rPr>
        <w:t>which</w:t>
      </w:r>
      <w:r w:rsidRPr="005F2AF1">
        <w:rPr>
          <w:rFonts w:cs="Arial"/>
          <w:sz w:val="22"/>
          <w:szCs w:val="22"/>
        </w:rPr>
        <w:t xml:space="preserve"> plan</w:t>
      </w:r>
      <w:r>
        <w:rPr>
          <w:rFonts w:cs="Arial"/>
          <w:sz w:val="22"/>
          <w:szCs w:val="22"/>
        </w:rPr>
        <w:t>s</w:t>
      </w:r>
      <w:r w:rsidRPr="005F2AF1">
        <w:rPr>
          <w:rFonts w:cs="Arial"/>
          <w:sz w:val="22"/>
          <w:szCs w:val="22"/>
        </w:rPr>
        <w:t xml:space="preserve"> to strengthen equality, diversity and inclusion across all parts of the business</w:t>
      </w:r>
    </w:p>
    <w:p w14:paraId="50BD9C36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 xml:space="preserve">Seek to achieve a diverse </w:t>
      </w:r>
      <w:r>
        <w:rPr>
          <w:rFonts w:cs="Arial"/>
          <w:sz w:val="22"/>
          <w:szCs w:val="22"/>
        </w:rPr>
        <w:t xml:space="preserve">board and </w:t>
      </w:r>
      <w:r w:rsidRPr="005F2AF1">
        <w:rPr>
          <w:rFonts w:cs="Arial"/>
          <w:sz w:val="22"/>
          <w:szCs w:val="22"/>
        </w:rPr>
        <w:t>workforce, reflective of the communities we serve.</w:t>
      </w:r>
    </w:p>
    <w:p w14:paraId="151EADCB" w14:textId="77777777" w:rsidR="003059E2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 xml:space="preserve">Provide </w:t>
      </w:r>
      <w:r>
        <w:rPr>
          <w:rFonts w:cs="Arial"/>
          <w:sz w:val="22"/>
          <w:szCs w:val="22"/>
        </w:rPr>
        <w:t xml:space="preserve">board members and </w:t>
      </w:r>
      <w:r w:rsidRPr="005F2AF1">
        <w:rPr>
          <w:rFonts w:cs="Arial"/>
          <w:sz w:val="22"/>
          <w:szCs w:val="22"/>
        </w:rPr>
        <w:t>staff with equality and diversity training and maintain the awareness and understanding of equality and diversity issues</w:t>
      </w:r>
    </w:p>
    <w:p w14:paraId="54FE06FB" w14:textId="77777777" w:rsidR="000D4D32" w:rsidRPr="005F2AF1" w:rsidRDefault="000D4D3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services to our customers which recognise, support and celebrate their diverse needs</w:t>
      </w:r>
    </w:p>
    <w:p w14:paraId="305EBAE7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 xml:space="preserve">Promote equality and diversity to a wider partnership and work with partners to improve provision and </w:t>
      </w:r>
      <w:proofErr w:type="gramStart"/>
      <w:r w:rsidRPr="005F2AF1">
        <w:rPr>
          <w:rFonts w:cs="Arial"/>
          <w:sz w:val="22"/>
          <w:szCs w:val="22"/>
        </w:rPr>
        <w:t>services;</w:t>
      </w:r>
      <w:proofErr w:type="gramEnd"/>
    </w:p>
    <w:p w14:paraId="3D350317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cs="Arial"/>
          <w:sz w:val="22"/>
          <w:szCs w:val="22"/>
          <w:lang w:val="en"/>
        </w:rPr>
      </w:pPr>
      <w:r w:rsidRPr="005F2AF1">
        <w:rPr>
          <w:rFonts w:cs="Arial"/>
          <w:sz w:val="22"/>
          <w:szCs w:val="22"/>
          <w:lang w:val="en"/>
        </w:rPr>
        <w:t xml:space="preserve">Monitor representation and performance of the different groups (sex, race, disability, age </w:t>
      </w:r>
      <w:proofErr w:type="spellStart"/>
      <w:r w:rsidRPr="005F2AF1">
        <w:rPr>
          <w:rFonts w:cs="Arial"/>
          <w:sz w:val="22"/>
          <w:szCs w:val="22"/>
          <w:lang w:val="en"/>
        </w:rPr>
        <w:t>etc</w:t>
      </w:r>
      <w:proofErr w:type="spellEnd"/>
      <w:r w:rsidRPr="005F2AF1">
        <w:rPr>
          <w:rFonts w:cs="Arial"/>
          <w:sz w:val="22"/>
          <w:szCs w:val="22"/>
          <w:lang w:val="en"/>
        </w:rPr>
        <w:t>) across all s</w:t>
      </w:r>
      <w:r>
        <w:rPr>
          <w:rFonts w:cs="Arial"/>
          <w:sz w:val="22"/>
          <w:szCs w:val="22"/>
          <w:lang w:val="en"/>
        </w:rPr>
        <w:t xml:space="preserve">ervices and </w:t>
      </w:r>
      <w:r w:rsidR="000D4D32">
        <w:rPr>
          <w:rFonts w:cs="Arial"/>
          <w:sz w:val="22"/>
          <w:szCs w:val="22"/>
          <w:lang w:val="en"/>
        </w:rPr>
        <w:t xml:space="preserve">within </w:t>
      </w:r>
      <w:r>
        <w:rPr>
          <w:rFonts w:cs="Arial"/>
          <w:sz w:val="22"/>
          <w:szCs w:val="22"/>
          <w:lang w:val="en"/>
        </w:rPr>
        <w:t xml:space="preserve">the </w:t>
      </w:r>
      <w:proofErr w:type="spellStart"/>
      <w:r>
        <w:rPr>
          <w:rFonts w:cs="Arial"/>
          <w:sz w:val="22"/>
          <w:szCs w:val="22"/>
          <w:lang w:val="en"/>
        </w:rPr>
        <w:t>organisation</w:t>
      </w:r>
      <w:proofErr w:type="spellEnd"/>
    </w:p>
    <w:p w14:paraId="35C454A9" w14:textId="77777777" w:rsidR="003059E2" w:rsidRPr="005F2AF1" w:rsidRDefault="003059E2" w:rsidP="003059E2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cs="Arial"/>
          <w:sz w:val="22"/>
          <w:szCs w:val="22"/>
          <w:lang w:val="en"/>
        </w:rPr>
      </w:pPr>
      <w:r w:rsidRPr="005F2AF1">
        <w:rPr>
          <w:rFonts w:cs="Arial"/>
          <w:sz w:val="22"/>
          <w:szCs w:val="22"/>
          <w:lang w:val="en"/>
        </w:rPr>
        <w:t>Support customers</w:t>
      </w:r>
      <w:r>
        <w:rPr>
          <w:rFonts w:cs="Arial"/>
          <w:sz w:val="22"/>
          <w:szCs w:val="22"/>
          <w:lang w:val="en"/>
        </w:rPr>
        <w:t>, board members</w:t>
      </w:r>
      <w:r w:rsidRPr="005F2AF1">
        <w:rPr>
          <w:rFonts w:cs="Arial"/>
          <w:sz w:val="22"/>
          <w:szCs w:val="22"/>
          <w:lang w:val="en"/>
        </w:rPr>
        <w:t xml:space="preserve"> and staff to challenge, record, and report incidences of discrimination </w:t>
      </w:r>
      <w:r w:rsidR="000D4D32">
        <w:rPr>
          <w:rFonts w:cs="Arial"/>
          <w:sz w:val="22"/>
          <w:szCs w:val="22"/>
          <w:lang w:val="en"/>
        </w:rPr>
        <w:t xml:space="preserve">backed by </w:t>
      </w:r>
      <w:r w:rsidRPr="005F2AF1">
        <w:rPr>
          <w:rFonts w:cs="Arial"/>
          <w:sz w:val="22"/>
          <w:szCs w:val="22"/>
          <w:lang w:val="en"/>
        </w:rPr>
        <w:t xml:space="preserve">an accessible and robust complaints </w:t>
      </w:r>
      <w:proofErr w:type="gramStart"/>
      <w:r w:rsidRPr="005F2AF1">
        <w:rPr>
          <w:rFonts w:cs="Arial"/>
          <w:sz w:val="22"/>
          <w:szCs w:val="22"/>
          <w:lang w:val="en"/>
        </w:rPr>
        <w:t>system;</w:t>
      </w:r>
      <w:proofErr w:type="gramEnd"/>
    </w:p>
    <w:p w14:paraId="47F09FED" w14:textId="77777777" w:rsidR="003059E2" w:rsidRDefault="003059E2" w:rsidP="003059E2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 w:rsidRPr="005F2AF1">
        <w:rPr>
          <w:rFonts w:cs="Arial"/>
          <w:sz w:val="22"/>
          <w:szCs w:val="22"/>
        </w:rPr>
        <w:t>Seek to include equality and diversity issues as part of organi</w:t>
      </w:r>
      <w:r>
        <w:rPr>
          <w:rFonts w:cs="Arial"/>
          <w:sz w:val="22"/>
          <w:szCs w:val="22"/>
        </w:rPr>
        <w:t>s</w:t>
      </w:r>
      <w:r w:rsidRPr="005F2AF1">
        <w:rPr>
          <w:rFonts w:cs="Arial"/>
          <w:sz w:val="22"/>
          <w:szCs w:val="22"/>
        </w:rPr>
        <w:t xml:space="preserve">ational procurement, wherever </w:t>
      </w:r>
      <w:proofErr w:type="gramStart"/>
      <w:r w:rsidRPr="005F2AF1">
        <w:rPr>
          <w:rFonts w:cs="Arial"/>
          <w:sz w:val="22"/>
          <w:szCs w:val="22"/>
        </w:rPr>
        <w:t>appropriate;</w:t>
      </w:r>
      <w:proofErr w:type="gramEnd"/>
    </w:p>
    <w:p w14:paraId="75341A57" w14:textId="77777777" w:rsidR="008765F8" w:rsidRDefault="003059E2" w:rsidP="008765F8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Publish an annual update on our equality, diversity and inclusion commitments. </w:t>
      </w:r>
    </w:p>
    <w:p w14:paraId="6AE3743D" w14:textId="77777777" w:rsidR="00240F24" w:rsidRPr="000D4D32" w:rsidRDefault="00240F24" w:rsidP="00240F24">
      <w:pPr>
        <w:pStyle w:val="ListParagraph"/>
        <w:spacing w:line="276" w:lineRule="auto"/>
        <w:jc w:val="both"/>
        <w:rPr>
          <w:rFonts w:cs="Arial"/>
          <w:sz w:val="22"/>
          <w:szCs w:val="22"/>
        </w:rPr>
      </w:pPr>
    </w:p>
    <w:sectPr w:rsidR="00240F24" w:rsidRPr="000D4D32" w:rsidSect="00240F24"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6987" w14:textId="77777777" w:rsidR="00EB1A83" w:rsidRDefault="00EB1A83" w:rsidP="0022012E">
      <w:pPr>
        <w:spacing w:after="0" w:line="240" w:lineRule="auto"/>
      </w:pPr>
      <w:r>
        <w:separator/>
      </w:r>
    </w:p>
  </w:endnote>
  <w:endnote w:type="continuationSeparator" w:id="0">
    <w:p w14:paraId="4D9C6392" w14:textId="77777777" w:rsidR="00EB1A83" w:rsidRDefault="00EB1A83" w:rsidP="0022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88CB" w14:textId="77777777" w:rsidR="00EB1A83" w:rsidRDefault="00EB1A83" w:rsidP="0022012E">
      <w:pPr>
        <w:spacing w:after="0" w:line="240" w:lineRule="auto"/>
      </w:pPr>
      <w:r>
        <w:separator/>
      </w:r>
    </w:p>
  </w:footnote>
  <w:footnote w:type="continuationSeparator" w:id="0">
    <w:p w14:paraId="72F0E90B" w14:textId="77777777" w:rsidR="00EB1A83" w:rsidRDefault="00EB1A83" w:rsidP="0022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E3"/>
    <w:multiLevelType w:val="hybridMultilevel"/>
    <w:tmpl w:val="A92C9BF4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6A2"/>
    <w:multiLevelType w:val="hybridMultilevel"/>
    <w:tmpl w:val="15F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07D"/>
    <w:multiLevelType w:val="hybridMultilevel"/>
    <w:tmpl w:val="6FB6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6412"/>
    <w:multiLevelType w:val="hybridMultilevel"/>
    <w:tmpl w:val="985E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E79"/>
    <w:multiLevelType w:val="hybridMultilevel"/>
    <w:tmpl w:val="2C7C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5982"/>
    <w:multiLevelType w:val="hybridMultilevel"/>
    <w:tmpl w:val="9D86C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4D9"/>
    <w:multiLevelType w:val="hybridMultilevel"/>
    <w:tmpl w:val="20AA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B85"/>
    <w:multiLevelType w:val="hybridMultilevel"/>
    <w:tmpl w:val="89B8ED0C"/>
    <w:lvl w:ilvl="0" w:tplc="CF9C5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6727"/>
    <w:multiLevelType w:val="hybridMultilevel"/>
    <w:tmpl w:val="357A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3853"/>
    <w:multiLevelType w:val="hybridMultilevel"/>
    <w:tmpl w:val="05F4D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227C"/>
    <w:multiLevelType w:val="hybridMultilevel"/>
    <w:tmpl w:val="6A6084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F2583A"/>
    <w:multiLevelType w:val="hybridMultilevel"/>
    <w:tmpl w:val="CD1A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0B3F"/>
    <w:multiLevelType w:val="hybridMultilevel"/>
    <w:tmpl w:val="2BAE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6133"/>
    <w:multiLevelType w:val="hybridMultilevel"/>
    <w:tmpl w:val="6A18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6FEF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83A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551E"/>
    <w:multiLevelType w:val="hybridMultilevel"/>
    <w:tmpl w:val="BFF6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F39"/>
    <w:multiLevelType w:val="hybridMultilevel"/>
    <w:tmpl w:val="98E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50524"/>
    <w:multiLevelType w:val="hybridMultilevel"/>
    <w:tmpl w:val="C5C2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2C81"/>
    <w:multiLevelType w:val="hybridMultilevel"/>
    <w:tmpl w:val="EF9CD650"/>
    <w:lvl w:ilvl="0" w:tplc="8F4C0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208A4"/>
    <w:multiLevelType w:val="hybridMultilevel"/>
    <w:tmpl w:val="38D24E12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4539"/>
    <w:multiLevelType w:val="hybridMultilevel"/>
    <w:tmpl w:val="04187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78DE"/>
    <w:multiLevelType w:val="hybridMultilevel"/>
    <w:tmpl w:val="513E21C4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13FC"/>
    <w:multiLevelType w:val="hybridMultilevel"/>
    <w:tmpl w:val="9F0C1EFE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8CB"/>
    <w:multiLevelType w:val="hybridMultilevel"/>
    <w:tmpl w:val="226E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6737">
    <w:abstractNumId w:val="1"/>
  </w:num>
  <w:num w:numId="2" w16cid:durableId="1452549581">
    <w:abstractNumId w:val="12"/>
  </w:num>
  <w:num w:numId="3" w16cid:durableId="1349870575">
    <w:abstractNumId w:val="2"/>
  </w:num>
  <w:num w:numId="4" w16cid:durableId="1668048316">
    <w:abstractNumId w:val="5"/>
  </w:num>
  <w:num w:numId="5" w16cid:durableId="885067325">
    <w:abstractNumId w:val="7"/>
  </w:num>
  <w:num w:numId="6" w16cid:durableId="325283757">
    <w:abstractNumId w:val="4"/>
  </w:num>
  <w:num w:numId="7" w16cid:durableId="1091008391">
    <w:abstractNumId w:val="16"/>
  </w:num>
  <w:num w:numId="8" w16cid:durableId="2020304989">
    <w:abstractNumId w:val="3"/>
  </w:num>
  <w:num w:numId="9" w16cid:durableId="1272131758">
    <w:abstractNumId w:val="22"/>
  </w:num>
  <w:num w:numId="10" w16cid:durableId="443619248">
    <w:abstractNumId w:val="6"/>
  </w:num>
  <w:num w:numId="11" w16cid:durableId="1774283189">
    <w:abstractNumId w:val="20"/>
  </w:num>
  <w:num w:numId="12" w16cid:durableId="1807971036">
    <w:abstractNumId w:val="18"/>
  </w:num>
  <w:num w:numId="13" w16cid:durableId="66080956">
    <w:abstractNumId w:val="21"/>
  </w:num>
  <w:num w:numId="14" w16cid:durableId="2062750121">
    <w:abstractNumId w:val="0"/>
  </w:num>
  <w:num w:numId="15" w16cid:durableId="1338120377">
    <w:abstractNumId w:val="19"/>
  </w:num>
  <w:num w:numId="16" w16cid:durableId="1603221805">
    <w:abstractNumId w:val="11"/>
  </w:num>
  <w:num w:numId="17" w16cid:durableId="847252894">
    <w:abstractNumId w:val="8"/>
  </w:num>
  <w:num w:numId="18" w16cid:durableId="1657032919">
    <w:abstractNumId w:val="15"/>
  </w:num>
  <w:num w:numId="19" w16cid:durableId="2003972349">
    <w:abstractNumId w:val="17"/>
  </w:num>
  <w:num w:numId="20" w16cid:durableId="1312562624">
    <w:abstractNumId w:val="14"/>
  </w:num>
  <w:num w:numId="21" w16cid:durableId="1308046679">
    <w:abstractNumId w:val="10"/>
  </w:num>
  <w:num w:numId="22" w16cid:durableId="1216116583">
    <w:abstractNumId w:val="9"/>
  </w:num>
  <w:num w:numId="23" w16cid:durableId="1116022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88"/>
    <w:rsid w:val="000D4D32"/>
    <w:rsid w:val="00165009"/>
    <w:rsid w:val="00172A62"/>
    <w:rsid w:val="0022012E"/>
    <w:rsid w:val="00223587"/>
    <w:rsid w:val="00240F24"/>
    <w:rsid w:val="002E746B"/>
    <w:rsid w:val="003059E2"/>
    <w:rsid w:val="004D3B88"/>
    <w:rsid w:val="004D3FB8"/>
    <w:rsid w:val="005B154B"/>
    <w:rsid w:val="005E0E75"/>
    <w:rsid w:val="006027D5"/>
    <w:rsid w:val="0066171B"/>
    <w:rsid w:val="008765F8"/>
    <w:rsid w:val="008E6EFC"/>
    <w:rsid w:val="008E711E"/>
    <w:rsid w:val="008F0A22"/>
    <w:rsid w:val="00905337"/>
    <w:rsid w:val="00A130BC"/>
    <w:rsid w:val="00C445FD"/>
    <w:rsid w:val="00DE05DF"/>
    <w:rsid w:val="00EB1A83"/>
    <w:rsid w:val="00FA3C04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483B"/>
  <w15:chartTrackingRefBased/>
  <w15:docId w15:val="{103091C9-6033-4A3A-A222-1EC13C5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8F0A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2E"/>
  </w:style>
  <w:style w:type="paragraph" w:styleId="Footer">
    <w:name w:val="footer"/>
    <w:basedOn w:val="Normal"/>
    <w:link w:val="FooterChar"/>
    <w:uiPriority w:val="99"/>
    <w:unhideWhenUsed/>
    <w:rsid w:val="0022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E8EB-0D27-4DE1-924E-89BD97ED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Collins</dc:creator>
  <cp:keywords/>
  <dc:description/>
  <cp:lastModifiedBy>maureen pardy</cp:lastModifiedBy>
  <cp:revision>2</cp:revision>
  <dcterms:created xsi:type="dcterms:W3CDTF">2022-04-09T15:00:00Z</dcterms:created>
  <dcterms:modified xsi:type="dcterms:W3CDTF">2022-04-09T15:00:00Z</dcterms:modified>
</cp:coreProperties>
</file>